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5E" w:rsidRDefault="0015055E" w:rsidP="0015055E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Основною метою</w:t>
      </w:r>
      <w:r w:rsidR="0076010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діяльності головного спеціаліста з питань </w:t>
      </w:r>
    </w:p>
    <w:p w:rsidR="00760104" w:rsidRDefault="0015055E" w:rsidP="0015055E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запобігання та виявлення корупції</w:t>
      </w:r>
      <w:r w:rsidR="00B8066F">
        <w:rPr>
          <w:b/>
          <w:bCs/>
          <w:lang w:val="uk-UA"/>
        </w:rPr>
        <w:t xml:space="preserve"> Управління капітального будівництва</w:t>
      </w:r>
      <w:r>
        <w:rPr>
          <w:b/>
          <w:bCs/>
          <w:lang w:val="uk-UA"/>
        </w:rPr>
        <w:t xml:space="preserve"> є:</w:t>
      </w:r>
    </w:p>
    <w:p w:rsidR="0015055E" w:rsidRDefault="0015055E" w:rsidP="0015055E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760104" w:rsidRPr="0015055E" w:rsidTr="000142BA">
        <w:trPr>
          <w:trHeight w:val="723"/>
        </w:trPr>
        <w:tc>
          <w:tcPr>
            <w:tcW w:w="5000" w:type="pct"/>
          </w:tcPr>
          <w:p w:rsidR="00760104" w:rsidRPr="005853E4" w:rsidRDefault="007432D0" w:rsidP="0015055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Впровадження та реалізація </w:t>
            </w:r>
            <w:r w:rsidR="005449FA" w:rsidRPr="005853E4">
              <w:rPr>
                <w:lang w:val="uk-UA"/>
              </w:rPr>
              <w:t xml:space="preserve">заходів </w:t>
            </w:r>
            <w:r>
              <w:rPr>
                <w:lang w:val="uk-UA"/>
              </w:rPr>
              <w:t>щодо запобігання та</w:t>
            </w:r>
            <w:r w:rsidR="005449FA" w:rsidRPr="005853E4">
              <w:rPr>
                <w:lang w:val="uk-UA"/>
              </w:rPr>
              <w:t xml:space="preserve"> виявлення </w:t>
            </w:r>
            <w:r>
              <w:rPr>
                <w:lang w:val="uk-UA"/>
              </w:rPr>
              <w:t xml:space="preserve">корупційних </w:t>
            </w:r>
            <w:r w:rsidR="004B2768">
              <w:rPr>
                <w:lang w:val="uk-UA"/>
              </w:rPr>
              <w:t xml:space="preserve">правопорушень </w:t>
            </w:r>
            <w:r>
              <w:rPr>
                <w:lang w:val="uk-UA"/>
              </w:rPr>
              <w:t xml:space="preserve">та </w:t>
            </w:r>
            <w:r w:rsidR="004B2768">
              <w:rPr>
                <w:lang w:val="uk-UA"/>
              </w:rPr>
              <w:t xml:space="preserve">правопорушень, </w:t>
            </w:r>
            <w:r>
              <w:rPr>
                <w:lang w:val="uk-UA"/>
              </w:rPr>
              <w:t>пов</w:t>
            </w:r>
            <w:r w:rsidRPr="007432D0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язаних з корупцією </w:t>
            </w:r>
            <w:r w:rsidR="005853E4" w:rsidRPr="005853E4">
              <w:rPr>
                <w:lang w:val="uk-UA"/>
              </w:rPr>
              <w:t>в Управлінні капітального будівництва Чернігівської обласної державної адміністрації</w:t>
            </w:r>
            <w:r w:rsidR="004B2768">
              <w:rPr>
                <w:lang w:val="uk-UA"/>
              </w:rPr>
              <w:t xml:space="preserve"> (далі – Управління)</w:t>
            </w:r>
            <w:r w:rsidR="009D5298" w:rsidRPr="005853E4">
              <w:rPr>
                <w:lang w:val="uk-UA"/>
              </w:rPr>
              <w:t>.</w:t>
            </w:r>
          </w:p>
        </w:tc>
      </w:tr>
    </w:tbl>
    <w:p w:rsidR="00760104" w:rsidRDefault="00760104" w:rsidP="0015055E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 xml:space="preserve">Основні </w:t>
      </w:r>
      <w:r w:rsidR="0015055E">
        <w:rPr>
          <w:b/>
          <w:bCs/>
          <w:lang w:val="uk-UA"/>
        </w:rPr>
        <w:t>функції, повноваження, завдання та напрями діяльності: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8943"/>
      </w:tblGrid>
      <w:tr w:rsidR="005F7E49" w:rsidRPr="001E66BC" w:rsidTr="00C126A6">
        <w:tc>
          <w:tcPr>
            <w:tcW w:w="277" w:type="pct"/>
          </w:tcPr>
          <w:p w:rsidR="005F7E49" w:rsidRPr="002B3B41" w:rsidRDefault="005F7E49" w:rsidP="00015027">
            <w:pPr>
              <w:pStyle w:val="a3"/>
              <w:jc w:val="center"/>
              <w:rPr>
                <w:lang w:val="uk-UA"/>
              </w:rPr>
            </w:pPr>
            <w:bookmarkStart w:id="0" w:name="164"/>
            <w:bookmarkStart w:id="1" w:name="165"/>
            <w:bookmarkEnd w:id="0"/>
            <w:bookmarkEnd w:id="1"/>
            <w:r>
              <w:rPr>
                <w:lang w:val="uk-UA"/>
              </w:rPr>
              <w:t>1</w:t>
            </w:r>
          </w:p>
        </w:tc>
        <w:tc>
          <w:tcPr>
            <w:tcW w:w="4723" w:type="pct"/>
          </w:tcPr>
          <w:p w:rsidR="005F7E49" w:rsidRPr="00FA59CC" w:rsidRDefault="003F0BA8" w:rsidP="00BD19A0">
            <w:pPr>
              <w:pStyle w:val="rvps2"/>
              <w:spacing w:after="109"/>
              <w:jc w:val="both"/>
              <w:rPr>
                <w:color w:val="000000" w:themeColor="text1"/>
                <w:lang w:val="uk-UA"/>
              </w:rPr>
            </w:pPr>
            <w:bookmarkStart w:id="2" w:name="166"/>
            <w:bookmarkEnd w:id="2"/>
            <w:r>
              <w:rPr>
                <w:color w:val="000000" w:themeColor="text1"/>
                <w:shd w:val="clear" w:color="auto" w:fill="FFFFFF"/>
                <w:lang w:val="uk-UA"/>
              </w:rPr>
              <w:t>Забезпечення</w:t>
            </w:r>
            <w:r w:rsidR="00FA59CC" w:rsidRPr="00FA59CC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="00FA59CC">
              <w:rPr>
                <w:color w:val="000000" w:themeColor="text1"/>
                <w:shd w:val="clear" w:color="auto" w:fill="FFFFFF"/>
              </w:rPr>
              <w:t>розроблення</w:t>
            </w:r>
            <w:proofErr w:type="spellEnd"/>
            <w:r w:rsidR="00FA59CC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FA59CC">
              <w:rPr>
                <w:color w:val="000000" w:themeColor="text1"/>
                <w:shd w:val="clear" w:color="auto" w:fill="FFFFFF"/>
              </w:rPr>
              <w:t>організаці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>ї</w:t>
            </w:r>
            <w:r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контрол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>ю</w:t>
            </w:r>
            <w:r w:rsidR="00FA59CC" w:rsidRPr="00FA59CC">
              <w:rPr>
                <w:color w:val="000000" w:themeColor="text1"/>
                <w:shd w:val="clear" w:color="auto" w:fill="FFFFFF"/>
              </w:rPr>
              <w:t xml:space="preserve"> за </w:t>
            </w:r>
            <w:proofErr w:type="spellStart"/>
            <w:r w:rsidR="00FA59CC" w:rsidRPr="00FA59CC">
              <w:rPr>
                <w:color w:val="000000" w:themeColor="text1"/>
                <w:shd w:val="clear" w:color="auto" w:fill="FFFFFF"/>
              </w:rPr>
              <w:t>проведенням</w:t>
            </w:r>
            <w:proofErr w:type="spellEnd"/>
            <w:r w:rsidR="00FA59CC" w:rsidRPr="00FA59C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A59CC" w:rsidRPr="00FA59CC">
              <w:rPr>
                <w:color w:val="000000" w:themeColor="text1"/>
                <w:shd w:val="clear" w:color="auto" w:fill="FFFFFF"/>
              </w:rPr>
              <w:t>заходів</w:t>
            </w:r>
            <w:proofErr w:type="spellEnd"/>
            <w:r w:rsidR="00FA59CC" w:rsidRPr="00FA59C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A59CC" w:rsidRPr="00FA59CC">
              <w:rPr>
                <w:color w:val="000000" w:themeColor="text1"/>
                <w:shd w:val="clear" w:color="auto" w:fill="FFFFFF"/>
              </w:rPr>
              <w:t>щодо</w:t>
            </w:r>
            <w:proofErr w:type="spellEnd"/>
            <w:r w:rsidR="00FA59CC" w:rsidRPr="00FA59C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A59CC" w:rsidRPr="00FA59CC">
              <w:rPr>
                <w:color w:val="000000" w:themeColor="text1"/>
                <w:shd w:val="clear" w:color="auto" w:fill="FFFFFF"/>
              </w:rPr>
              <w:t>запобігання</w:t>
            </w:r>
            <w:proofErr w:type="spellEnd"/>
            <w:r w:rsidR="00FA59CC" w:rsidRPr="00FA59C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A59CC" w:rsidRPr="00FA59CC">
              <w:rPr>
                <w:color w:val="000000" w:themeColor="text1"/>
                <w:shd w:val="clear" w:color="auto" w:fill="FFFFFF"/>
              </w:rPr>
              <w:t>корупційним</w:t>
            </w:r>
            <w:proofErr w:type="spellEnd"/>
            <w:r w:rsidR="00FA59CC" w:rsidRPr="00FA59C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A59CC" w:rsidRPr="00FA59CC">
              <w:rPr>
                <w:color w:val="000000" w:themeColor="text1"/>
                <w:shd w:val="clear" w:color="auto" w:fill="FFFFFF"/>
              </w:rPr>
              <w:t>правопорушенням</w:t>
            </w:r>
            <w:proofErr w:type="spellEnd"/>
            <w:r w:rsidR="00FA59CC" w:rsidRPr="00FA59CC"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="00FA59CC" w:rsidRPr="00FA59CC">
              <w:rPr>
                <w:color w:val="000000" w:themeColor="text1"/>
                <w:shd w:val="clear" w:color="auto" w:fill="FFFFFF"/>
              </w:rPr>
              <w:t>правопорушенням</w:t>
            </w:r>
            <w:proofErr w:type="spellEnd"/>
            <w:r w:rsidR="00FA59CC" w:rsidRPr="00FA59CC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FA59CC" w:rsidRPr="00FA59CC">
              <w:rPr>
                <w:color w:val="000000" w:themeColor="text1"/>
                <w:shd w:val="clear" w:color="auto" w:fill="FFFFFF"/>
              </w:rPr>
              <w:t>пов’язаним</w:t>
            </w:r>
            <w:proofErr w:type="spellEnd"/>
            <w:r w:rsidR="00FA59CC" w:rsidRPr="00FA59C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A59CC" w:rsidRPr="00FA59CC">
              <w:rPr>
                <w:color w:val="000000" w:themeColor="text1"/>
                <w:shd w:val="clear" w:color="auto" w:fill="FFFFFF"/>
              </w:rPr>
              <w:t>з</w:t>
            </w:r>
            <w:proofErr w:type="spellEnd"/>
            <w:r w:rsidR="00FA59CC" w:rsidRPr="00FA59C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A59CC" w:rsidRPr="00FA59CC">
              <w:rPr>
                <w:color w:val="000000" w:themeColor="text1"/>
                <w:shd w:val="clear" w:color="auto" w:fill="FFFFFF"/>
              </w:rPr>
              <w:t>корупцією</w:t>
            </w:r>
            <w:proofErr w:type="spellEnd"/>
            <w:r w:rsidR="00FA59CC"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</w:tr>
      <w:tr w:rsidR="009E64E5" w:rsidRPr="0015055E" w:rsidTr="00C126A6">
        <w:tc>
          <w:tcPr>
            <w:tcW w:w="277" w:type="pct"/>
          </w:tcPr>
          <w:p w:rsidR="009E64E5" w:rsidRPr="002B3B41" w:rsidRDefault="009E64E5" w:rsidP="00B46E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23" w:type="pct"/>
          </w:tcPr>
          <w:p w:rsidR="009E64E5" w:rsidRDefault="003F0BA8" w:rsidP="00BD19A0">
            <w:pPr>
              <w:pStyle w:val="rvps2"/>
              <w:spacing w:after="109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Забезпечення організації</w:t>
            </w:r>
            <w:r w:rsidR="009E64E5">
              <w:rPr>
                <w:color w:val="000000" w:themeColor="text1"/>
                <w:lang w:val="uk-UA"/>
              </w:rPr>
              <w:t xml:space="preserve"> роботи</w:t>
            </w:r>
            <w:r w:rsidR="009E64E5" w:rsidRPr="008913EF">
              <w:rPr>
                <w:color w:val="000000" w:themeColor="text1"/>
                <w:lang w:val="uk-UA"/>
              </w:rPr>
              <w:t xml:space="preserve"> з оцінки корупційних ризиків </w:t>
            </w:r>
            <w:r w:rsidR="009E64E5" w:rsidRPr="00345BBA">
              <w:rPr>
                <w:color w:val="000000" w:themeColor="text1"/>
                <w:shd w:val="clear" w:color="auto" w:fill="FFFFFF"/>
                <w:lang w:val="uk-UA"/>
              </w:rPr>
              <w:t>у діяльності Управління</w:t>
            </w:r>
            <w:r>
              <w:rPr>
                <w:color w:val="000000" w:themeColor="text1"/>
                <w:lang w:val="uk-UA"/>
              </w:rPr>
              <w:t>, підготовки</w:t>
            </w:r>
            <w:r w:rsidR="009E64E5" w:rsidRPr="008913EF">
              <w:rPr>
                <w:color w:val="000000" w:themeColor="text1"/>
                <w:lang w:val="uk-UA"/>
              </w:rPr>
              <w:t xml:space="preserve"> з</w:t>
            </w:r>
            <w:r w:rsidR="009E64E5">
              <w:rPr>
                <w:color w:val="000000" w:themeColor="text1"/>
                <w:lang w:val="uk-UA"/>
              </w:rPr>
              <w:t>аходів щодо їх усунення, внесення</w:t>
            </w:r>
            <w:r w:rsidR="009E64E5" w:rsidRPr="008913EF">
              <w:rPr>
                <w:color w:val="000000" w:themeColor="text1"/>
                <w:lang w:val="uk-UA"/>
              </w:rPr>
              <w:t xml:space="preserve"> керівнику </w:t>
            </w:r>
            <w:r w:rsidR="009E64E5">
              <w:rPr>
                <w:color w:val="000000" w:themeColor="text1"/>
                <w:lang w:val="uk-UA"/>
              </w:rPr>
              <w:t>Управління відповідних пропозицій.</w:t>
            </w:r>
          </w:p>
        </w:tc>
      </w:tr>
      <w:tr w:rsidR="00FA7B64" w:rsidRPr="00345BBA" w:rsidTr="00382D20">
        <w:trPr>
          <w:trHeight w:val="2208"/>
        </w:trPr>
        <w:tc>
          <w:tcPr>
            <w:tcW w:w="277" w:type="pct"/>
          </w:tcPr>
          <w:p w:rsidR="00FA7B64" w:rsidRDefault="005F02B5" w:rsidP="00B46E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23" w:type="pct"/>
          </w:tcPr>
          <w:p w:rsidR="00FA7B64" w:rsidRPr="00FA7B64" w:rsidRDefault="00FA7B64" w:rsidP="00FA7B64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Здійснення роботи, </w:t>
            </w:r>
            <w:proofErr w:type="spellStart"/>
            <w:r>
              <w:rPr>
                <w:color w:val="000000" w:themeColor="text1"/>
                <w:lang w:val="uk-UA"/>
              </w:rPr>
              <w:t>пов</w:t>
            </w:r>
            <w:proofErr w:type="spellEnd"/>
            <w:r w:rsidRPr="00FA7B64">
              <w:rPr>
                <w:color w:val="000000" w:themeColor="text1"/>
              </w:rPr>
              <w:t>’</w:t>
            </w:r>
            <w:proofErr w:type="spellStart"/>
            <w:r>
              <w:rPr>
                <w:color w:val="000000" w:themeColor="text1"/>
                <w:lang w:val="uk-UA"/>
              </w:rPr>
              <w:t>язаної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з:</w:t>
            </w:r>
          </w:p>
          <w:p w:rsidR="00FA7B64" w:rsidRPr="004941FD" w:rsidRDefault="00FA7B64" w:rsidP="00FA7B64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-п</w:t>
            </w:r>
            <w:r>
              <w:rPr>
                <w:color w:val="000000" w:themeColor="text1"/>
              </w:rPr>
              <w:t>ров</w:t>
            </w:r>
            <w:proofErr w:type="spellStart"/>
            <w:r>
              <w:rPr>
                <w:color w:val="000000" w:themeColor="text1"/>
                <w:lang w:val="uk-UA"/>
              </w:rPr>
              <w:t>еденням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перевірк</w:t>
            </w:r>
            <w:proofErr w:type="spellEnd"/>
            <w:r>
              <w:rPr>
                <w:color w:val="000000" w:themeColor="text1"/>
                <w:lang w:val="uk-UA"/>
              </w:rPr>
              <w:t>и</w:t>
            </w:r>
            <w:r w:rsidRPr="008913EF">
              <w:rPr>
                <w:color w:val="000000" w:themeColor="text1"/>
              </w:rPr>
              <w:t xml:space="preserve"> факту </w:t>
            </w:r>
            <w:proofErr w:type="spellStart"/>
            <w:r w:rsidRPr="008913EF">
              <w:rPr>
                <w:color w:val="000000" w:themeColor="text1"/>
              </w:rPr>
              <w:t>подання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суб’єктами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декла</w:t>
            </w:r>
            <w:r>
              <w:rPr>
                <w:color w:val="000000" w:themeColor="text1"/>
              </w:rPr>
              <w:t>рування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декларацій</w:t>
            </w:r>
            <w:proofErr w:type="spellEnd"/>
            <w:r>
              <w:rPr>
                <w:color w:val="000000" w:themeColor="text1"/>
              </w:rPr>
              <w:t xml:space="preserve"> та </w:t>
            </w:r>
            <w:proofErr w:type="spellStart"/>
            <w:r>
              <w:rPr>
                <w:color w:val="000000" w:themeColor="text1"/>
              </w:rPr>
              <w:t>повідомл</w:t>
            </w:r>
            <w:r>
              <w:rPr>
                <w:color w:val="000000" w:themeColor="text1"/>
                <w:lang w:val="uk-UA"/>
              </w:rPr>
              <w:t>енням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Національн</w:t>
            </w:r>
            <w:r>
              <w:rPr>
                <w:color w:val="000000" w:themeColor="text1"/>
                <w:lang w:val="uk-UA"/>
              </w:rPr>
              <w:t>ого</w:t>
            </w:r>
            <w:proofErr w:type="spellEnd"/>
            <w:r>
              <w:rPr>
                <w:color w:val="000000" w:themeColor="text1"/>
              </w:rPr>
              <w:t xml:space="preserve"> агентств</w:t>
            </w:r>
            <w:r>
              <w:rPr>
                <w:color w:val="000000" w:themeColor="text1"/>
                <w:lang w:val="uk-UA"/>
              </w:rPr>
              <w:t>а</w:t>
            </w:r>
            <w:r w:rsidRPr="008913EF">
              <w:rPr>
                <w:color w:val="000000" w:themeColor="text1"/>
              </w:rPr>
              <w:t xml:space="preserve"> </w:t>
            </w:r>
            <w:r w:rsidR="00B8066F">
              <w:rPr>
                <w:color w:val="000000" w:themeColor="text1"/>
                <w:lang w:val="uk-UA"/>
              </w:rPr>
              <w:t xml:space="preserve">з питань запобігання корупції (далі – Національне агентство) </w:t>
            </w:r>
            <w:r w:rsidRPr="008913EF">
              <w:rPr>
                <w:color w:val="000000" w:themeColor="text1"/>
              </w:rPr>
              <w:t xml:space="preserve">про </w:t>
            </w:r>
            <w:proofErr w:type="spellStart"/>
            <w:r w:rsidRPr="008913EF">
              <w:rPr>
                <w:color w:val="000000" w:themeColor="text1"/>
              </w:rPr>
              <w:t>випадки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неподання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чи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несвоєчасного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подання</w:t>
            </w:r>
            <w:proofErr w:type="spellEnd"/>
            <w:r w:rsidRPr="008913EF">
              <w:rPr>
                <w:color w:val="000000" w:themeColor="text1"/>
              </w:rPr>
              <w:t xml:space="preserve"> таких </w:t>
            </w:r>
            <w:proofErr w:type="spellStart"/>
            <w:r w:rsidRPr="008913EF">
              <w:rPr>
                <w:color w:val="000000" w:themeColor="text1"/>
              </w:rPr>
              <w:t>деклара</w:t>
            </w:r>
            <w:r>
              <w:rPr>
                <w:color w:val="000000" w:themeColor="text1"/>
              </w:rPr>
              <w:t>цій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>
              <w:rPr>
                <w:color w:val="000000" w:themeColor="text1"/>
              </w:rPr>
              <w:t>визначеному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Законом України «Про запобігання корупції» (далі – Закон)</w:t>
            </w:r>
            <w:r w:rsidRPr="008913EF">
              <w:rPr>
                <w:color w:val="000000" w:themeColor="text1"/>
              </w:rPr>
              <w:t xml:space="preserve"> порядку</w:t>
            </w:r>
            <w:r>
              <w:rPr>
                <w:color w:val="000000" w:themeColor="text1"/>
                <w:lang w:val="uk-UA"/>
              </w:rPr>
              <w:t>;</w:t>
            </w:r>
          </w:p>
          <w:p w:rsidR="00FA7B64" w:rsidRPr="004941FD" w:rsidRDefault="00FA7B64" w:rsidP="00FA7B64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-н</w:t>
            </w:r>
            <w:r>
              <w:rPr>
                <w:color w:val="000000" w:themeColor="text1"/>
              </w:rPr>
              <w:t>ада</w:t>
            </w:r>
            <w:proofErr w:type="spellStart"/>
            <w:r>
              <w:rPr>
                <w:color w:val="000000" w:themeColor="text1"/>
                <w:lang w:val="uk-UA"/>
              </w:rPr>
              <w:t>нням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працівникам Управління </w:t>
            </w:r>
            <w:proofErr w:type="spellStart"/>
            <w:r>
              <w:rPr>
                <w:color w:val="000000" w:themeColor="text1"/>
              </w:rPr>
              <w:t>консультативн</w:t>
            </w:r>
            <w:r>
              <w:rPr>
                <w:color w:val="000000" w:themeColor="text1"/>
                <w:lang w:val="uk-UA"/>
              </w:rPr>
              <w:t>ої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допомог</w:t>
            </w:r>
            <w:proofErr w:type="spellEnd"/>
            <w:r>
              <w:rPr>
                <w:color w:val="000000" w:themeColor="text1"/>
                <w:lang w:val="uk-UA"/>
              </w:rPr>
              <w:t>и</w:t>
            </w:r>
            <w:r w:rsidRPr="008913EF">
              <w:rPr>
                <w:color w:val="000000" w:themeColor="text1"/>
              </w:rPr>
              <w:t xml:space="preserve"> в </w:t>
            </w:r>
            <w:proofErr w:type="spellStart"/>
            <w:r w:rsidRPr="008913EF">
              <w:rPr>
                <w:color w:val="000000" w:themeColor="text1"/>
              </w:rPr>
              <w:t>заповненні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декларацій</w:t>
            </w:r>
            <w:proofErr w:type="spellEnd"/>
            <w:r w:rsidRPr="008913EF">
              <w:rPr>
                <w:color w:val="000000" w:themeColor="text1"/>
              </w:rPr>
              <w:t xml:space="preserve"> особи, </w:t>
            </w:r>
            <w:proofErr w:type="spellStart"/>
            <w:r w:rsidRPr="008913EF">
              <w:rPr>
                <w:color w:val="000000" w:themeColor="text1"/>
              </w:rPr>
              <w:t>уповноваженої</w:t>
            </w:r>
            <w:proofErr w:type="spellEnd"/>
            <w:r w:rsidRPr="008913EF">
              <w:rPr>
                <w:color w:val="000000" w:themeColor="text1"/>
              </w:rPr>
              <w:t xml:space="preserve"> на </w:t>
            </w:r>
            <w:proofErr w:type="spellStart"/>
            <w:r w:rsidRPr="008913EF">
              <w:rPr>
                <w:color w:val="000000" w:themeColor="text1"/>
              </w:rPr>
              <w:t>виконання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функцій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держави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або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місцевого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самоврядування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5F02B5" w:rsidRPr="00345BBA" w:rsidTr="00A42A05">
        <w:trPr>
          <w:trHeight w:val="557"/>
        </w:trPr>
        <w:tc>
          <w:tcPr>
            <w:tcW w:w="277" w:type="pct"/>
          </w:tcPr>
          <w:p w:rsidR="005F02B5" w:rsidRPr="002B3B41" w:rsidRDefault="005F02B5" w:rsidP="00A42A0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23" w:type="pct"/>
          </w:tcPr>
          <w:p w:rsidR="005F02B5" w:rsidRPr="008913EF" w:rsidRDefault="005F02B5" w:rsidP="00A42A05">
            <w:pPr>
              <w:pStyle w:val="rvps2"/>
              <w:spacing w:after="109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</w:rPr>
              <w:t>ада</w:t>
            </w:r>
            <w:proofErr w:type="spellStart"/>
            <w:r>
              <w:rPr>
                <w:color w:val="000000" w:themeColor="text1"/>
                <w:lang w:val="uk-UA"/>
              </w:rPr>
              <w:t>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структурним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підрозд</w:t>
            </w:r>
            <w:r>
              <w:rPr>
                <w:color w:val="000000" w:themeColor="text1"/>
              </w:rPr>
              <w:t>ілам</w:t>
            </w:r>
            <w:proofErr w:type="spellEnd"/>
            <w:r>
              <w:rPr>
                <w:color w:val="000000" w:themeColor="text1"/>
              </w:rPr>
              <w:t xml:space="preserve"> та </w:t>
            </w:r>
            <w:proofErr w:type="spellStart"/>
            <w:r>
              <w:rPr>
                <w:color w:val="000000" w:themeColor="text1"/>
              </w:rPr>
              <w:t>їх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працівникам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методичн</w:t>
            </w:r>
            <w:r>
              <w:rPr>
                <w:color w:val="000000" w:themeColor="text1"/>
                <w:lang w:val="uk-UA"/>
              </w:rPr>
              <w:t>ої</w:t>
            </w:r>
            <w:proofErr w:type="spellEnd"/>
            <w:r>
              <w:rPr>
                <w:color w:val="000000" w:themeColor="text1"/>
              </w:rPr>
              <w:t xml:space="preserve"> та </w:t>
            </w:r>
            <w:proofErr w:type="spellStart"/>
            <w:r>
              <w:rPr>
                <w:color w:val="000000" w:themeColor="text1"/>
              </w:rPr>
              <w:t>консультаційн</w:t>
            </w:r>
            <w:r>
              <w:rPr>
                <w:color w:val="000000" w:themeColor="text1"/>
                <w:lang w:val="uk-UA"/>
              </w:rPr>
              <w:t>ої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допомог</w:t>
            </w:r>
            <w:proofErr w:type="spellEnd"/>
            <w:r>
              <w:rPr>
                <w:color w:val="000000" w:themeColor="text1"/>
                <w:lang w:val="uk-UA"/>
              </w:rPr>
              <w:t>и</w:t>
            </w:r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з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питань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додержання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законодавства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щодо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запобігання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корупції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5F02B5" w:rsidRPr="0015055E" w:rsidTr="00A42A05">
        <w:tc>
          <w:tcPr>
            <w:tcW w:w="277" w:type="pct"/>
          </w:tcPr>
          <w:p w:rsidR="005F02B5" w:rsidRDefault="005F02B5" w:rsidP="005F02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5F02B5" w:rsidRPr="002B3B41" w:rsidRDefault="005F02B5" w:rsidP="00A42A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23" w:type="pct"/>
          </w:tcPr>
          <w:p w:rsidR="005F02B5" w:rsidRPr="008913EF" w:rsidRDefault="005F02B5" w:rsidP="00B8066F">
            <w:pPr>
              <w:pStyle w:val="rvps2"/>
              <w:spacing w:after="109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Вживання</w:t>
            </w:r>
            <w:r w:rsidRPr="008913EF">
              <w:rPr>
                <w:color w:val="000000" w:themeColor="text1"/>
                <w:lang w:val="uk-UA"/>
              </w:rPr>
              <w:t xml:space="preserve"> заходів з виявлен</w:t>
            </w:r>
            <w:r>
              <w:rPr>
                <w:color w:val="000000" w:themeColor="text1"/>
                <w:lang w:val="uk-UA"/>
              </w:rPr>
              <w:t>ня конфлікту інтересів та сприяння його врегулюванню, інформування</w:t>
            </w:r>
            <w:r w:rsidRPr="008913EF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начальника Управління </w:t>
            </w:r>
            <w:r w:rsidRPr="008913EF">
              <w:rPr>
                <w:color w:val="000000" w:themeColor="text1"/>
                <w:lang w:val="uk-UA"/>
              </w:rPr>
              <w:t>та Національне агентство про виявлення конфлікту інтересів та заходи, вжиті для його врегулювання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141CC6" w:rsidRPr="0015055E" w:rsidTr="00A42A05">
        <w:tc>
          <w:tcPr>
            <w:tcW w:w="277" w:type="pct"/>
          </w:tcPr>
          <w:p w:rsidR="00141CC6" w:rsidRDefault="00141CC6" w:rsidP="005F02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23" w:type="pct"/>
          </w:tcPr>
          <w:p w:rsidR="00141CC6" w:rsidRPr="00FA7B64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Здійснення роботи, пов</w:t>
            </w:r>
            <w:r w:rsidRPr="00FA7B64">
              <w:rPr>
                <w:color w:val="000000" w:themeColor="text1"/>
                <w:lang w:val="uk-UA"/>
              </w:rPr>
              <w:t>’</w:t>
            </w:r>
            <w:r>
              <w:rPr>
                <w:color w:val="000000" w:themeColor="text1"/>
                <w:lang w:val="uk-UA"/>
              </w:rPr>
              <w:t>язаної з:</w:t>
            </w:r>
          </w:p>
          <w:p w:rsidR="00141CC6" w:rsidRPr="00470EAF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-організацією</w:t>
            </w:r>
            <w:proofErr w:type="spellEnd"/>
            <w:r>
              <w:rPr>
                <w:color w:val="000000" w:themeColor="text1"/>
                <w:lang w:val="uk-UA"/>
              </w:rPr>
              <w:t xml:space="preserve"> роботи</w:t>
            </w:r>
            <w:r w:rsidRPr="008913EF">
              <w:rPr>
                <w:color w:val="000000" w:themeColor="text1"/>
                <w:lang w:val="uk-UA"/>
              </w:rPr>
              <w:t xml:space="preserve"> внутрішніх каналів повідомлення про можливі факти корупційних або пов’язаних з корупцією правопорушень, інших порушень вимог</w:t>
            </w:r>
            <w:r>
              <w:rPr>
                <w:color w:val="000000" w:themeColor="text1"/>
                <w:lang w:val="uk-UA"/>
              </w:rPr>
              <w:t xml:space="preserve"> </w:t>
            </w:r>
            <w:hyperlink r:id="rId6" w:tgtFrame="_blank" w:history="1">
              <w:r w:rsidRPr="000029C4">
                <w:rPr>
                  <w:rStyle w:val="a5"/>
                  <w:color w:val="000000" w:themeColor="text1"/>
                  <w:u w:val="none"/>
                  <w:lang w:val="uk-UA"/>
                </w:rPr>
                <w:t>Закону</w:t>
              </w:r>
            </w:hyperlink>
            <w:r>
              <w:rPr>
                <w:color w:val="000000" w:themeColor="text1"/>
                <w:lang w:val="uk-UA"/>
              </w:rPr>
              <w:t>, отриманням та організацією</w:t>
            </w:r>
            <w:r w:rsidRPr="008913EF">
              <w:rPr>
                <w:color w:val="000000" w:themeColor="text1"/>
                <w:lang w:val="uk-UA"/>
              </w:rPr>
              <w:t xml:space="preserve"> розгляд</w:t>
            </w:r>
            <w:r>
              <w:rPr>
                <w:color w:val="000000" w:themeColor="text1"/>
                <w:lang w:val="uk-UA"/>
              </w:rPr>
              <w:t>у</w:t>
            </w:r>
            <w:r w:rsidRPr="008913EF">
              <w:rPr>
                <w:color w:val="000000" w:themeColor="text1"/>
                <w:lang w:val="uk-UA"/>
              </w:rPr>
              <w:t xml:space="preserve"> повідомленої через такі канали інформації</w:t>
            </w:r>
            <w:r>
              <w:rPr>
                <w:color w:val="000000" w:themeColor="text1"/>
                <w:lang w:val="uk-UA"/>
              </w:rPr>
              <w:t>;</w:t>
            </w:r>
          </w:p>
          <w:p w:rsidR="00141CC6" w:rsidRPr="00AC58F4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-с</w:t>
            </w:r>
            <w:proofErr w:type="spellStart"/>
            <w:r>
              <w:rPr>
                <w:color w:val="000000" w:themeColor="text1"/>
              </w:rPr>
              <w:t>півпрац</w:t>
            </w:r>
            <w:r>
              <w:rPr>
                <w:color w:val="000000" w:themeColor="text1"/>
                <w:lang w:val="uk-UA"/>
              </w:rPr>
              <w:t>ею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викривачами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забезпеч</w:t>
            </w:r>
            <w:r>
              <w:rPr>
                <w:color w:val="000000" w:themeColor="text1"/>
                <w:lang w:val="uk-UA"/>
              </w:rPr>
              <w:t>енням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дотримання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їхніх</w:t>
            </w:r>
            <w:proofErr w:type="spellEnd"/>
            <w:r w:rsidRPr="008913EF">
              <w:rPr>
                <w:color w:val="000000" w:themeColor="text1"/>
              </w:rPr>
              <w:t xml:space="preserve"> прав та </w:t>
            </w:r>
            <w:proofErr w:type="spellStart"/>
            <w:r w:rsidRPr="008913EF">
              <w:rPr>
                <w:color w:val="000000" w:themeColor="text1"/>
              </w:rPr>
              <w:t>гарантій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захисту</w:t>
            </w:r>
            <w:proofErr w:type="spellEnd"/>
            <w:r w:rsidRPr="008913EF">
              <w:rPr>
                <w:color w:val="000000" w:themeColor="text1"/>
              </w:rPr>
              <w:t xml:space="preserve">, </w:t>
            </w:r>
            <w:proofErr w:type="spellStart"/>
            <w:r w:rsidRPr="008913EF">
              <w:rPr>
                <w:color w:val="000000" w:themeColor="text1"/>
              </w:rPr>
              <w:t>передбачених</w:t>
            </w:r>
            <w:proofErr w:type="spellEnd"/>
            <w:r w:rsidRPr="008913EF">
              <w:rPr>
                <w:color w:val="000000" w:themeColor="text1"/>
              </w:rPr>
              <w:t xml:space="preserve"> Законом</w:t>
            </w:r>
            <w:r>
              <w:rPr>
                <w:color w:val="000000" w:themeColor="text1"/>
                <w:lang w:val="uk-UA"/>
              </w:rPr>
              <w:t>;</w:t>
            </w:r>
          </w:p>
          <w:p w:rsidR="00141CC6" w:rsidRPr="008913EF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-наданням</w:t>
            </w:r>
            <w:proofErr w:type="spellEnd"/>
            <w:r w:rsidRPr="008913EF">
              <w:rPr>
                <w:color w:val="000000" w:themeColor="text1"/>
                <w:lang w:val="uk-UA"/>
              </w:rPr>
              <w:t xml:space="preserve"> працівникам </w:t>
            </w:r>
            <w:r>
              <w:rPr>
                <w:color w:val="000000" w:themeColor="text1"/>
                <w:lang w:val="uk-UA"/>
              </w:rPr>
              <w:t xml:space="preserve">Управління </w:t>
            </w:r>
            <w:r w:rsidRPr="008913EF">
              <w:rPr>
                <w:color w:val="000000" w:themeColor="text1"/>
                <w:lang w:val="uk-UA"/>
              </w:rPr>
              <w:t>або особам, які проходять у них службу чи навчання або в</w:t>
            </w:r>
            <w:r>
              <w:rPr>
                <w:color w:val="000000" w:themeColor="text1"/>
                <w:lang w:val="uk-UA"/>
              </w:rPr>
              <w:t>иконують певну роботу, методичної допомоги та консультацій</w:t>
            </w:r>
            <w:r w:rsidRPr="008913EF">
              <w:rPr>
                <w:color w:val="000000" w:themeColor="text1"/>
                <w:lang w:val="uk-UA"/>
              </w:rPr>
              <w:t xml:space="preserve"> щодо здійснення повідомлення про можливі факти корупційних або пов’язаних з корупцією правопорушень, інших порушень Закону </w:t>
            </w:r>
            <w:r>
              <w:rPr>
                <w:color w:val="000000" w:themeColor="text1"/>
                <w:lang w:val="uk-UA"/>
              </w:rPr>
              <w:t>та захисту викривачів, проведенням</w:t>
            </w:r>
            <w:r w:rsidRPr="008913EF">
              <w:rPr>
                <w:color w:val="000000" w:themeColor="text1"/>
                <w:lang w:val="uk-UA"/>
              </w:rPr>
              <w:t xml:space="preserve"> внутрішні</w:t>
            </w:r>
            <w:r>
              <w:rPr>
                <w:color w:val="000000" w:themeColor="text1"/>
                <w:lang w:val="uk-UA"/>
              </w:rPr>
              <w:t>х навчань</w:t>
            </w:r>
            <w:r w:rsidRPr="008913EF">
              <w:rPr>
                <w:color w:val="000000" w:themeColor="text1"/>
                <w:lang w:val="uk-UA"/>
              </w:rPr>
              <w:t xml:space="preserve"> з цих питань</w:t>
            </w:r>
            <w:r>
              <w:rPr>
                <w:color w:val="000000" w:themeColor="text1"/>
                <w:lang w:val="uk-UA"/>
              </w:rPr>
              <w:t>;</w:t>
            </w:r>
          </w:p>
          <w:p w:rsidR="00141CC6" w:rsidRPr="00893725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-здійсненням</w:t>
            </w:r>
            <w:proofErr w:type="spellEnd"/>
            <w:r>
              <w:rPr>
                <w:color w:val="000000" w:themeColor="text1"/>
                <w:lang w:val="uk-UA"/>
              </w:rPr>
              <w:t xml:space="preserve"> перевірки</w:t>
            </w:r>
            <w:r w:rsidRPr="008913EF">
              <w:rPr>
                <w:color w:val="000000" w:themeColor="text1"/>
                <w:lang w:val="uk-UA"/>
              </w:rPr>
              <w:t xml:space="preserve"> повідомлень про можливі факти корупційних або пов’язаних з корупцією правопорушень, інших порушень Закону, отриманих через внутрішні та регулярні канали повідомлень, у терміни, передбачені</w:t>
            </w:r>
            <w:r>
              <w:rPr>
                <w:color w:val="000000" w:themeColor="text1"/>
                <w:lang w:val="uk-UA"/>
              </w:rPr>
              <w:t xml:space="preserve"> </w:t>
            </w:r>
            <w:hyperlink r:id="rId7" w:tgtFrame="_blank" w:history="1">
              <w:r w:rsidRPr="000029C4">
                <w:rPr>
                  <w:rStyle w:val="a5"/>
                  <w:color w:val="000000" w:themeColor="text1"/>
                  <w:u w:val="none"/>
                  <w:lang w:val="uk-UA"/>
                </w:rPr>
                <w:t>Законом</w:t>
              </w:r>
            </w:hyperlink>
            <w:r>
              <w:rPr>
                <w:lang w:val="uk-UA"/>
              </w:rPr>
              <w:t>;</w:t>
            </w:r>
          </w:p>
          <w:p w:rsidR="00141CC6" w:rsidRPr="008913EF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-інформуванням</w:t>
            </w:r>
            <w:proofErr w:type="spellEnd"/>
            <w:r>
              <w:rPr>
                <w:color w:val="000000" w:themeColor="text1"/>
                <w:lang w:val="uk-UA"/>
              </w:rPr>
              <w:t xml:space="preserve"> начальника Управління, Національного агентства</w:t>
            </w:r>
            <w:r w:rsidRPr="008913EF">
              <w:rPr>
                <w:color w:val="000000" w:themeColor="text1"/>
                <w:lang w:val="uk-UA"/>
              </w:rPr>
              <w:t>, інших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та інших порушень вимог</w:t>
            </w:r>
            <w:r w:rsidRPr="008913EF">
              <w:rPr>
                <w:color w:val="000000" w:themeColor="text1"/>
              </w:rPr>
              <w:t> </w:t>
            </w:r>
            <w:hyperlink r:id="rId8" w:tgtFrame="_blank" w:history="1">
              <w:r w:rsidRPr="000029C4">
                <w:rPr>
                  <w:rStyle w:val="a5"/>
                  <w:color w:val="000000" w:themeColor="text1"/>
                  <w:u w:val="none"/>
                  <w:lang w:val="uk-UA"/>
                </w:rPr>
                <w:t>Закону</w:t>
              </w:r>
            </w:hyperlink>
            <w:r w:rsidRPr="008913EF">
              <w:rPr>
                <w:color w:val="000000" w:themeColor="text1"/>
              </w:rPr>
              <w:t> </w:t>
            </w:r>
            <w:r w:rsidRPr="008913EF">
              <w:rPr>
                <w:color w:val="000000" w:themeColor="text1"/>
                <w:lang w:val="uk-UA"/>
              </w:rPr>
              <w:t xml:space="preserve">працівниками </w:t>
            </w:r>
            <w:r>
              <w:rPr>
                <w:color w:val="000000" w:themeColor="text1"/>
                <w:lang w:val="uk-UA"/>
              </w:rPr>
              <w:t>Управління;</w:t>
            </w:r>
          </w:p>
          <w:p w:rsidR="00141CC6" w:rsidRPr="008913EF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-здійсненням</w:t>
            </w:r>
            <w:proofErr w:type="spellEnd"/>
            <w:r w:rsidRPr="008913EF">
              <w:rPr>
                <w:color w:val="000000" w:themeColor="text1"/>
                <w:lang w:val="uk-UA"/>
              </w:rPr>
              <w:t xml:space="preserve"> моніторинг</w:t>
            </w:r>
            <w:r>
              <w:rPr>
                <w:color w:val="000000" w:themeColor="text1"/>
                <w:lang w:val="uk-UA"/>
              </w:rPr>
              <w:t>у</w:t>
            </w:r>
            <w:r w:rsidRPr="008913EF">
              <w:rPr>
                <w:color w:val="000000" w:themeColor="text1"/>
                <w:lang w:val="uk-UA"/>
              </w:rPr>
              <w:t xml:space="preserve"> офіційного </w:t>
            </w:r>
            <w:proofErr w:type="spellStart"/>
            <w:r w:rsidRPr="008913EF">
              <w:rPr>
                <w:color w:val="000000" w:themeColor="text1"/>
                <w:lang w:val="uk-UA"/>
              </w:rPr>
              <w:t>вебпорталу</w:t>
            </w:r>
            <w:proofErr w:type="spellEnd"/>
            <w:r w:rsidRPr="008913EF">
              <w:rPr>
                <w:color w:val="000000" w:themeColor="text1"/>
                <w:lang w:val="uk-UA"/>
              </w:rPr>
              <w:t xml:space="preserve"> «Судова влада України», Єдиного державного реєстру судових рішень </w:t>
            </w:r>
            <w:r>
              <w:rPr>
                <w:color w:val="000000" w:themeColor="text1"/>
                <w:lang w:val="uk-UA"/>
              </w:rPr>
              <w:t>у</w:t>
            </w:r>
            <w:r w:rsidRPr="008913EF">
              <w:rPr>
                <w:color w:val="000000" w:themeColor="text1"/>
                <w:lang w:val="uk-UA"/>
              </w:rPr>
              <w:t xml:space="preserve"> разі отримання офіційної інформації стосовно вчинення працівником </w:t>
            </w:r>
            <w:r>
              <w:rPr>
                <w:color w:val="000000" w:themeColor="text1"/>
                <w:lang w:val="uk-UA"/>
              </w:rPr>
              <w:t xml:space="preserve">Управління </w:t>
            </w:r>
            <w:r w:rsidRPr="008913EF">
              <w:rPr>
                <w:color w:val="000000" w:themeColor="text1"/>
                <w:lang w:val="uk-UA"/>
              </w:rPr>
              <w:t>корупційного правопорушення або правопорушення, п</w:t>
            </w:r>
            <w:r>
              <w:rPr>
                <w:color w:val="000000" w:themeColor="text1"/>
                <w:lang w:val="uk-UA"/>
              </w:rPr>
              <w:t xml:space="preserve">ов’язаного з корупцією, </w:t>
            </w:r>
            <w:r w:rsidRPr="008913EF">
              <w:rPr>
                <w:color w:val="000000" w:themeColor="text1"/>
                <w:lang w:val="uk-UA"/>
              </w:rPr>
              <w:t>з метою отримання інформації щодо результатів розгляду відповідної справи судом</w:t>
            </w:r>
            <w:r>
              <w:rPr>
                <w:color w:val="000000" w:themeColor="text1"/>
                <w:lang w:val="uk-UA"/>
              </w:rPr>
              <w:t>;</w:t>
            </w:r>
          </w:p>
          <w:p w:rsidR="00141CC6" w:rsidRPr="008913EF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-повідомленням</w:t>
            </w:r>
            <w:proofErr w:type="spellEnd"/>
            <w:r w:rsidRPr="008913EF">
              <w:rPr>
                <w:color w:val="000000" w:themeColor="text1"/>
                <w:lang w:val="uk-UA"/>
              </w:rPr>
              <w:t xml:space="preserve"> у письмовій формі </w:t>
            </w:r>
            <w:r>
              <w:rPr>
                <w:color w:val="000000" w:themeColor="text1"/>
                <w:lang w:val="uk-UA"/>
              </w:rPr>
              <w:t>начальника</w:t>
            </w:r>
            <w:r w:rsidRPr="008913EF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Управління </w:t>
            </w:r>
            <w:r w:rsidRPr="008913EF">
              <w:rPr>
                <w:color w:val="000000" w:themeColor="text1"/>
                <w:lang w:val="uk-UA"/>
              </w:rPr>
              <w:t xml:space="preserve">про вчинення корупційних правопорушень або правопорушень, пов’язаних з корупцією, та інших </w:t>
            </w:r>
            <w:r w:rsidRPr="008913EF">
              <w:rPr>
                <w:color w:val="000000" w:themeColor="text1"/>
                <w:lang w:val="uk-UA"/>
              </w:rPr>
              <w:lastRenderedPageBreak/>
              <w:t xml:space="preserve">порушень вимог Закону працівниками </w:t>
            </w:r>
            <w:r>
              <w:rPr>
                <w:color w:val="000000" w:themeColor="text1"/>
                <w:lang w:val="uk-UA"/>
              </w:rPr>
              <w:t>Управління;</w:t>
            </w:r>
          </w:p>
          <w:p w:rsidR="00141CC6" w:rsidRPr="002A2C23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-і</w:t>
            </w:r>
            <w:proofErr w:type="spellStart"/>
            <w:r>
              <w:rPr>
                <w:color w:val="000000" w:themeColor="text1"/>
              </w:rPr>
              <w:t>нформу</w:t>
            </w:r>
            <w:r>
              <w:rPr>
                <w:color w:val="000000" w:themeColor="text1"/>
                <w:lang w:val="uk-UA"/>
              </w:rPr>
              <w:t>ванням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Національн</w:t>
            </w:r>
            <w:r>
              <w:rPr>
                <w:color w:val="000000" w:themeColor="text1"/>
                <w:lang w:val="uk-UA"/>
              </w:rPr>
              <w:t>ого</w:t>
            </w:r>
            <w:proofErr w:type="spellEnd"/>
            <w:r>
              <w:rPr>
                <w:color w:val="000000" w:themeColor="text1"/>
              </w:rPr>
              <w:t xml:space="preserve"> агентств</w:t>
            </w:r>
            <w:r>
              <w:rPr>
                <w:color w:val="000000" w:themeColor="text1"/>
                <w:lang w:val="uk-UA"/>
              </w:rPr>
              <w:t>а</w:t>
            </w:r>
            <w:r w:rsidRPr="008913EF">
              <w:rPr>
                <w:color w:val="000000" w:themeColor="text1"/>
              </w:rPr>
              <w:t xml:space="preserve"> у </w:t>
            </w:r>
            <w:proofErr w:type="spellStart"/>
            <w:r w:rsidRPr="008913EF">
              <w:rPr>
                <w:color w:val="000000" w:themeColor="text1"/>
              </w:rPr>
              <w:t>разі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ненаправлення</w:t>
            </w:r>
            <w:proofErr w:type="spellEnd"/>
            <w:r w:rsidRPr="008913EF">
              <w:rPr>
                <w:color w:val="000000" w:themeColor="text1"/>
              </w:rPr>
              <w:t xml:space="preserve"> кадровою службою </w:t>
            </w:r>
            <w:r>
              <w:rPr>
                <w:color w:val="000000" w:themeColor="text1"/>
                <w:lang w:val="uk-UA"/>
              </w:rPr>
              <w:t xml:space="preserve">Управління </w:t>
            </w:r>
            <w:proofErr w:type="spellStart"/>
            <w:r w:rsidRPr="008913EF">
              <w:rPr>
                <w:color w:val="000000" w:themeColor="text1"/>
              </w:rPr>
              <w:t>завіреної</w:t>
            </w:r>
            <w:proofErr w:type="spellEnd"/>
            <w:r w:rsidRPr="008913EF">
              <w:rPr>
                <w:color w:val="000000" w:themeColor="text1"/>
              </w:rPr>
              <w:t xml:space="preserve"> в </w:t>
            </w:r>
            <w:proofErr w:type="spellStart"/>
            <w:r w:rsidRPr="008913EF">
              <w:rPr>
                <w:color w:val="000000" w:themeColor="text1"/>
              </w:rPr>
              <w:t>установленому</w:t>
            </w:r>
            <w:proofErr w:type="spellEnd"/>
            <w:r w:rsidRPr="008913EF">
              <w:rPr>
                <w:color w:val="000000" w:themeColor="text1"/>
              </w:rPr>
              <w:t xml:space="preserve"> порядку </w:t>
            </w:r>
            <w:proofErr w:type="spellStart"/>
            <w:r w:rsidRPr="008913EF">
              <w:rPr>
                <w:color w:val="000000" w:themeColor="text1"/>
              </w:rPr>
              <w:t>паперової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копії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розпорядчого</w:t>
            </w:r>
            <w:proofErr w:type="spellEnd"/>
            <w:r w:rsidRPr="008913EF">
              <w:rPr>
                <w:color w:val="000000" w:themeColor="text1"/>
              </w:rPr>
              <w:t xml:space="preserve"> документа про </w:t>
            </w:r>
            <w:proofErr w:type="spellStart"/>
            <w:r w:rsidRPr="008913EF">
              <w:rPr>
                <w:color w:val="000000" w:themeColor="text1"/>
              </w:rPr>
              <w:t>накладення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дисциплінарного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стягнення</w:t>
            </w:r>
            <w:proofErr w:type="spellEnd"/>
            <w:r w:rsidRPr="008913EF">
              <w:rPr>
                <w:color w:val="000000" w:themeColor="text1"/>
              </w:rPr>
              <w:t xml:space="preserve"> та </w:t>
            </w:r>
            <w:proofErr w:type="spellStart"/>
            <w:r w:rsidRPr="008913EF">
              <w:rPr>
                <w:color w:val="000000" w:themeColor="text1"/>
              </w:rPr>
              <w:t>інформаційної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картки</w:t>
            </w:r>
            <w:proofErr w:type="spellEnd"/>
            <w:r w:rsidRPr="008913EF">
              <w:rPr>
                <w:color w:val="000000" w:themeColor="text1"/>
              </w:rPr>
              <w:t xml:space="preserve"> до </w:t>
            </w:r>
            <w:proofErr w:type="spellStart"/>
            <w:r w:rsidRPr="008913EF">
              <w:rPr>
                <w:color w:val="000000" w:themeColor="text1"/>
              </w:rPr>
              <w:t>розпорядчого</w:t>
            </w:r>
            <w:proofErr w:type="spellEnd"/>
            <w:r w:rsidRPr="008913EF">
              <w:rPr>
                <w:color w:val="000000" w:themeColor="text1"/>
              </w:rPr>
              <w:t xml:space="preserve"> документа про </w:t>
            </w:r>
            <w:proofErr w:type="spellStart"/>
            <w:r w:rsidRPr="008913EF">
              <w:rPr>
                <w:color w:val="000000" w:themeColor="text1"/>
              </w:rPr>
              <w:t>накладення</w:t>
            </w:r>
            <w:proofErr w:type="spellEnd"/>
            <w:r w:rsidRPr="008913EF">
              <w:rPr>
                <w:color w:val="000000" w:themeColor="text1"/>
              </w:rPr>
              <w:t xml:space="preserve"> (</w:t>
            </w:r>
            <w:proofErr w:type="spellStart"/>
            <w:r w:rsidRPr="008913EF">
              <w:rPr>
                <w:color w:val="000000" w:themeColor="text1"/>
              </w:rPr>
              <w:t>скасування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розпорядчого</w:t>
            </w:r>
            <w:proofErr w:type="spellEnd"/>
            <w:r w:rsidRPr="008913EF">
              <w:rPr>
                <w:color w:val="000000" w:themeColor="text1"/>
              </w:rPr>
              <w:t xml:space="preserve"> документа про </w:t>
            </w:r>
            <w:proofErr w:type="spellStart"/>
            <w:r w:rsidRPr="008913EF">
              <w:rPr>
                <w:color w:val="000000" w:themeColor="text1"/>
              </w:rPr>
              <w:t>накладення</w:t>
            </w:r>
            <w:proofErr w:type="spellEnd"/>
            <w:r w:rsidRPr="008913EF">
              <w:rPr>
                <w:color w:val="000000" w:themeColor="text1"/>
              </w:rPr>
              <w:t xml:space="preserve">) </w:t>
            </w:r>
            <w:proofErr w:type="spellStart"/>
            <w:r w:rsidRPr="008913EF">
              <w:rPr>
                <w:color w:val="000000" w:themeColor="text1"/>
              </w:rPr>
              <w:t>дисциплінарного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стягнення</w:t>
            </w:r>
            <w:proofErr w:type="spellEnd"/>
            <w:r w:rsidRPr="008913EF">
              <w:rPr>
                <w:color w:val="000000" w:themeColor="text1"/>
              </w:rPr>
              <w:t xml:space="preserve"> на особу за </w:t>
            </w:r>
            <w:proofErr w:type="spellStart"/>
            <w:r w:rsidRPr="008913EF">
              <w:rPr>
                <w:color w:val="000000" w:themeColor="text1"/>
              </w:rPr>
              <w:t>вчинення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корупційних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або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пов’язаних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з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корупцією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правопорушень</w:t>
            </w:r>
            <w:proofErr w:type="spellEnd"/>
            <w:r w:rsidRPr="008913EF">
              <w:rPr>
                <w:color w:val="000000" w:themeColor="text1"/>
              </w:rPr>
              <w:t xml:space="preserve"> для </w:t>
            </w:r>
            <w:proofErr w:type="spellStart"/>
            <w:r w:rsidRPr="008913EF">
              <w:rPr>
                <w:color w:val="000000" w:themeColor="text1"/>
              </w:rPr>
              <w:t>внесення</w:t>
            </w:r>
            <w:proofErr w:type="spellEnd"/>
            <w:r w:rsidRPr="008913EF">
              <w:rPr>
                <w:color w:val="000000" w:themeColor="text1"/>
              </w:rPr>
              <w:t xml:space="preserve"> до </w:t>
            </w:r>
            <w:proofErr w:type="spellStart"/>
            <w:r w:rsidRPr="008913EF">
              <w:rPr>
                <w:color w:val="000000" w:themeColor="text1"/>
              </w:rPr>
              <w:t>Єдиного</w:t>
            </w:r>
            <w:proofErr w:type="spellEnd"/>
            <w:r w:rsidRPr="008913EF">
              <w:rPr>
                <w:color w:val="000000" w:themeColor="text1"/>
              </w:rPr>
              <w:t xml:space="preserve"> державного </w:t>
            </w:r>
            <w:proofErr w:type="spellStart"/>
            <w:r w:rsidRPr="008913EF">
              <w:rPr>
                <w:color w:val="000000" w:themeColor="text1"/>
              </w:rPr>
              <w:t>реєстру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осіб</w:t>
            </w:r>
            <w:proofErr w:type="spellEnd"/>
            <w:r w:rsidRPr="008913EF">
              <w:rPr>
                <w:color w:val="000000" w:themeColor="text1"/>
              </w:rPr>
              <w:t xml:space="preserve">, </w:t>
            </w:r>
            <w:proofErr w:type="spellStart"/>
            <w:r w:rsidRPr="008913EF">
              <w:rPr>
                <w:color w:val="000000" w:themeColor="text1"/>
              </w:rPr>
              <w:t>які</w:t>
            </w:r>
            <w:proofErr w:type="spellEnd"/>
            <w:r w:rsidRPr="008913EF">
              <w:rPr>
                <w:color w:val="000000" w:themeColor="text1"/>
              </w:rPr>
              <w:t xml:space="preserve"> вчинили </w:t>
            </w:r>
            <w:proofErr w:type="spellStart"/>
            <w:r w:rsidRPr="008913EF">
              <w:rPr>
                <w:color w:val="000000" w:themeColor="text1"/>
              </w:rPr>
              <w:t>корупційні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або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пов’язані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з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корупцією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правопорушення</w:t>
            </w:r>
            <w:proofErr w:type="spellEnd"/>
            <w:r>
              <w:rPr>
                <w:color w:val="000000" w:themeColor="text1"/>
                <w:lang w:val="uk-UA"/>
              </w:rPr>
              <w:t>;</w:t>
            </w:r>
          </w:p>
          <w:p w:rsidR="00141CC6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-о</w:t>
            </w:r>
            <w:r w:rsidRPr="00D53FA9">
              <w:rPr>
                <w:color w:val="000000" w:themeColor="text1"/>
                <w:lang w:val="uk-UA"/>
              </w:rPr>
              <w:t>рганіз</w:t>
            </w:r>
            <w:r>
              <w:rPr>
                <w:color w:val="000000" w:themeColor="text1"/>
                <w:lang w:val="uk-UA"/>
              </w:rPr>
              <w:t>ацією</w:t>
            </w:r>
            <w:proofErr w:type="spellEnd"/>
            <w:r w:rsidRPr="00D53FA9">
              <w:rPr>
                <w:color w:val="000000" w:themeColor="text1"/>
                <w:lang w:val="uk-UA"/>
              </w:rPr>
              <w:t xml:space="preserve"> робот</w:t>
            </w:r>
            <w:r>
              <w:rPr>
                <w:color w:val="000000" w:themeColor="text1"/>
                <w:lang w:val="uk-UA"/>
              </w:rPr>
              <w:t>и</w:t>
            </w:r>
            <w:r w:rsidRPr="00D53FA9">
              <w:rPr>
                <w:color w:val="000000" w:themeColor="text1"/>
                <w:lang w:val="uk-UA"/>
              </w:rPr>
              <w:t xml:space="preserve"> та </w:t>
            </w:r>
            <w:r>
              <w:rPr>
                <w:color w:val="000000" w:themeColor="text1"/>
                <w:lang w:val="uk-UA"/>
              </w:rPr>
              <w:t>взяттям участі</w:t>
            </w:r>
            <w:r w:rsidRPr="00D53FA9">
              <w:rPr>
                <w:color w:val="000000" w:themeColor="text1"/>
                <w:lang w:val="uk-UA"/>
              </w:rPr>
              <w:t xml:space="preserve"> у службовому розслідуванні, яке проводиться з метою виявлення причин та умов, що призвели до вчинення корупційного або пов’язаного з корупцією правопорушення або невиконання вимог</w:t>
            </w:r>
            <w:r w:rsidRPr="008913EF">
              <w:rPr>
                <w:color w:val="000000" w:themeColor="text1"/>
              </w:rPr>
              <w:t> </w:t>
            </w:r>
            <w:hyperlink r:id="rId9" w:tgtFrame="_blank" w:history="1">
              <w:r w:rsidRPr="00D53FA9">
                <w:rPr>
                  <w:rStyle w:val="a5"/>
                  <w:color w:val="000000" w:themeColor="text1"/>
                  <w:u w:val="none"/>
                  <w:lang w:val="uk-UA"/>
                </w:rPr>
                <w:t>Закону</w:t>
              </w:r>
            </w:hyperlink>
            <w:r w:rsidRPr="008913EF">
              <w:rPr>
                <w:color w:val="000000" w:themeColor="text1"/>
              </w:rPr>
              <w:t> </w:t>
            </w:r>
            <w:r w:rsidRPr="00D53FA9">
              <w:rPr>
                <w:color w:val="000000" w:themeColor="text1"/>
                <w:lang w:val="uk-UA"/>
              </w:rPr>
              <w:t>в інший спосіб, за поданням спеціально уповноваженого суб’єкта у сфері протидії корупції або приписом Національного агентства</w:t>
            </w:r>
            <w:r>
              <w:rPr>
                <w:color w:val="000000" w:themeColor="text1"/>
                <w:lang w:val="uk-UA"/>
              </w:rPr>
              <w:t>;</w:t>
            </w:r>
          </w:p>
          <w:p w:rsidR="00141CC6" w:rsidRDefault="00141CC6" w:rsidP="00141CC6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-в</w:t>
            </w:r>
            <w:r w:rsidRPr="008913EF">
              <w:rPr>
                <w:color w:val="000000" w:themeColor="text1"/>
              </w:rPr>
              <w:t>еде</w:t>
            </w:r>
            <w:proofErr w:type="spellStart"/>
            <w:r>
              <w:rPr>
                <w:color w:val="000000" w:themeColor="text1"/>
                <w:lang w:val="uk-UA"/>
              </w:rPr>
              <w:t>нням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облік</w:t>
            </w:r>
            <w:proofErr w:type="spellEnd"/>
            <w:r>
              <w:rPr>
                <w:color w:val="000000" w:themeColor="text1"/>
                <w:lang w:val="uk-UA"/>
              </w:rPr>
              <w:t>у</w:t>
            </w:r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працівників</w:t>
            </w:r>
            <w:proofErr w:type="spellEnd"/>
            <w:r>
              <w:rPr>
                <w:color w:val="000000" w:themeColor="text1"/>
                <w:lang w:val="uk-UA"/>
              </w:rPr>
              <w:t xml:space="preserve"> Управління</w:t>
            </w:r>
            <w:r w:rsidRPr="008913EF">
              <w:rPr>
                <w:color w:val="000000" w:themeColor="text1"/>
              </w:rPr>
              <w:t xml:space="preserve">, </w:t>
            </w:r>
            <w:proofErr w:type="spellStart"/>
            <w:r w:rsidRPr="008913EF">
              <w:rPr>
                <w:color w:val="000000" w:themeColor="text1"/>
              </w:rPr>
              <w:t>притягнутих</w:t>
            </w:r>
            <w:proofErr w:type="spellEnd"/>
            <w:r w:rsidRPr="008913EF">
              <w:rPr>
                <w:color w:val="000000" w:themeColor="text1"/>
              </w:rPr>
              <w:t xml:space="preserve"> до </w:t>
            </w:r>
            <w:proofErr w:type="spellStart"/>
            <w:r w:rsidRPr="008913EF">
              <w:rPr>
                <w:color w:val="000000" w:themeColor="text1"/>
              </w:rPr>
              <w:t>відповідальності</w:t>
            </w:r>
            <w:proofErr w:type="spellEnd"/>
            <w:r w:rsidRPr="008913EF">
              <w:rPr>
                <w:color w:val="000000" w:themeColor="text1"/>
              </w:rPr>
              <w:t xml:space="preserve"> за </w:t>
            </w:r>
            <w:proofErr w:type="spellStart"/>
            <w:r w:rsidRPr="008913EF">
              <w:rPr>
                <w:color w:val="000000" w:themeColor="text1"/>
              </w:rPr>
              <w:t>вчинення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корупційних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правопорушень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або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правопорушень</w:t>
            </w:r>
            <w:proofErr w:type="spellEnd"/>
            <w:r w:rsidRPr="008913EF">
              <w:rPr>
                <w:color w:val="000000" w:themeColor="text1"/>
              </w:rPr>
              <w:t xml:space="preserve">, </w:t>
            </w:r>
            <w:proofErr w:type="spellStart"/>
            <w:r w:rsidRPr="008913EF">
              <w:rPr>
                <w:color w:val="000000" w:themeColor="text1"/>
              </w:rPr>
              <w:t>пов’язаних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з</w:t>
            </w:r>
            <w:proofErr w:type="spellEnd"/>
            <w:r w:rsidRPr="008913EF">
              <w:rPr>
                <w:color w:val="000000" w:themeColor="text1"/>
              </w:rPr>
              <w:t xml:space="preserve"> </w:t>
            </w:r>
            <w:proofErr w:type="spellStart"/>
            <w:r w:rsidRPr="008913EF">
              <w:rPr>
                <w:color w:val="000000" w:themeColor="text1"/>
              </w:rPr>
              <w:t>корупцією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9E64E5" w:rsidRPr="001E66BC" w:rsidTr="00AE4EC3">
        <w:tc>
          <w:tcPr>
            <w:tcW w:w="277" w:type="pct"/>
          </w:tcPr>
          <w:p w:rsidR="009E64E5" w:rsidRPr="002B3B41" w:rsidRDefault="009E64E5" w:rsidP="00B46E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4723" w:type="pct"/>
          </w:tcPr>
          <w:p w:rsidR="009E64E5" w:rsidRPr="00015027" w:rsidRDefault="00B71283" w:rsidP="00B96EF0">
            <w:pPr>
              <w:pStyle w:val="rvps2"/>
              <w:shd w:val="clear" w:color="auto" w:fill="FFFFFF"/>
              <w:spacing w:after="109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Візування проектів</w:t>
            </w:r>
            <w:r w:rsidR="009E64E5" w:rsidRPr="00015027">
              <w:rPr>
                <w:color w:val="000000" w:themeColor="text1"/>
                <w:lang w:val="uk-UA"/>
              </w:rPr>
              <w:t xml:space="preserve"> наказів</w:t>
            </w:r>
            <w:r w:rsidR="009E64E5">
              <w:rPr>
                <w:color w:val="000000" w:themeColor="text1"/>
                <w:lang w:val="uk-UA"/>
              </w:rPr>
              <w:t>, виданих начальником Управління</w:t>
            </w:r>
            <w:r>
              <w:rPr>
                <w:color w:val="000000" w:themeColor="text1"/>
                <w:lang w:val="uk-UA"/>
              </w:rPr>
              <w:t xml:space="preserve">, </w:t>
            </w:r>
            <w:r w:rsidR="005F02B5">
              <w:rPr>
                <w:lang w:val="uk-UA"/>
              </w:rPr>
              <w:t>взяття</w:t>
            </w:r>
            <w:r>
              <w:t xml:space="preserve"> </w:t>
            </w:r>
            <w:proofErr w:type="spellStart"/>
            <w:r>
              <w:t>участ</w:t>
            </w:r>
            <w:proofErr w:type="spellEnd"/>
            <w:r>
              <w:rPr>
                <w:lang w:val="uk-UA"/>
              </w:rPr>
              <w:t>і</w:t>
            </w:r>
            <w:r>
              <w:t xml:space="preserve"> в </w:t>
            </w:r>
            <w:proofErr w:type="spellStart"/>
            <w:r>
              <w:t>опрацюванні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надходять</w:t>
            </w:r>
            <w:proofErr w:type="spellEnd"/>
            <w:r>
              <w:t xml:space="preserve"> до </w:t>
            </w:r>
            <w:proofErr w:type="spellStart"/>
            <w:r>
              <w:t>Управління</w:t>
            </w:r>
            <w:proofErr w:type="spellEnd"/>
            <w:r>
              <w:t xml:space="preserve">, </w:t>
            </w:r>
            <w:proofErr w:type="spellStart"/>
            <w:r>
              <w:t>підготовці</w:t>
            </w:r>
            <w:proofErr w:type="spellEnd"/>
            <w:r>
              <w:t xml:space="preserve"> до них </w:t>
            </w:r>
            <w:proofErr w:type="spellStart"/>
            <w:r>
              <w:t>аналітичних</w:t>
            </w:r>
            <w:proofErr w:type="spellEnd"/>
            <w:r>
              <w:t xml:space="preserve">, </w:t>
            </w:r>
            <w:proofErr w:type="spellStart"/>
            <w:r>
              <w:t>довідкових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належать до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компетенції</w:t>
            </w:r>
            <w:proofErr w:type="spellEnd"/>
            <w:r w:rsidR="009E64E5">
              <w:rPr>
                <w:color w:val="000000" w:themeColor="text1"/>
                <w:lang w:val="uk-UA"/>
              </w:rPr>
              <w:t>.</w:t>
            </w:r>
            <w:r w:rsidR="009E64E5" w:rsidRPr="00015027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9E64E5" w:rsidRPr="0015055E" w:rsidTr="00AE4EC3">
        <w:trPr>
          <w:trHeight w:val="557"/>
        </w:trPr>
        <w:tc>
          <w:tcPr>
            <w:tcW w:w="277" w:type="pct"/>
          </w:tcPr>
          <w:p w:rsidR="009E64E5" w:rsidRPr="002B3B41" w:rsidRDefault="009E64E5" w:rsidP="00B46E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23" w:type="pct"/>
          </w:tcPr>
          <w:p w:rsidR="009E64E5" w:rsidRPr="00015027" w:rsidRDefault="00C8427C" w:rsidP="00C8427C">
            <w:pPr>
              <w:pStyle w:val="rvps2"/>
              <w:shd w:val="clear" w:color="auto" w:fill="FFFFFF"/>
              <w:spacing w:after="109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Надання</w:t>
            </w:r>
            <w:r w:rsidRPr="00015027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щопівроку</w:t>
            </w:r>
            <w:proofErr w:type="spellEnd"/>
            <w:r w:rsidRPr="00015027">
              <w:rPr>
                <w:color w:val="000000" w:themeColor="text1"/>
                <w:lang w:val="uk-UA"/>
              </w:rPr>
              <w:t xml:space="preserve"> На</w:t>
            </w:r>
            <w:r>
              <w:rPr>
                <w:color w:val="000000" w:themeColor="text1"/>
                <w:lang w:val="uk-UA"/>
              </w:rPr>
              <w:t>ціональному агентству інформації</w:t>
            </w:r>
            <w:r w:rsidRPr="00015027">
              <w:rPr>
                <w:color w:val="000000" w:themeColor="text1"/>
                <w:lang w:val="uk-UA"/>
              </w:rPr>
              <w:t xml:space="preserve"> щодо діяльності </w:t>
            </w:r>
            <w:r>
              <w:rPr>
                <w:color w:val="000000" w:themeColor="text1"/>
                <w:lang w:val="uk-UA"/>
              </w:rPr>
              <w:t>уповноваженої особи</w:t>
            </w:r>
            <w:r w:rsidRPr="00015027">
              <w:rPr>
                <w:color w:val="000000" w:themeColor="text1"/>
                <w:lang w:val="uk-UA"/>
              </w:rPr>
              <w:t xml:space="preserve"> з питань запобігання та </w:t>
            </w:r>
            <w:r>
              <w:rPr>
                <w:color w:val="000000" w:themeColor="text1"/>
                <w:lang w:val="uk-UA"/>
              </w:rPr>
              <w:t>виявлення корупції та інформації</w:t>
            </w:r>
            <w:r w:rsidRPr="00015027">
              <w:rPr>
                <w:color w:val="000000" w:themeColor="text1"/>
                <w:lang w:val="uk-UA"/>
              </w:rPr>
              <w:t xml:space="preserve"> щодо </w:t>
            </w:r>
            <w:r>
              <w:rPr>
                <w:color w:val="000000" w:themeColor="text1"/>
                <w:lang w:val="uk-UA"/>
              </w:rPr>
              <w:t>уповноваженої особи</w:t>
            </w:r>
            <w:r w:rsidRPr="00015027">
              <w:rPr>
                <w:color w:val="000000" w:themeColor="text1"/>
                <w:lang w:val="uk-UA"/>
              </w:rPr>
              <w:t xml:space="preserve"> з питань запобігання та виявлення корупції</w:t>
            </w:r>
            <w:r w:rsidR="009E64E5" w:rsidRPr="00015027">
              <w:rPr>
                <w:color w:val="000000" w:themeColor="text1"/>
                <w:lang w:val="uk-UA"/>
              </w:rPr>
              <w:t>.</w:t>
            </w:r>
          </w:p>
        </w:tc>
      </w:tr>
      <w:tr w:rsidR="009E64E5" w:rsidRPr="0015055E" w:rsidTr="00AE4EC3">
        <w:tc>
          <w:tcPr>
            <w:tcW w:w="277" w:type="pct"/>
          </w:tcPr>
          <w:p w:rsidR="009E64E5" w:rsidRPr="002B3B41" w:rsidRDefault="009E64E5" w:rsidP="00B46E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23" w:type="pct"/>
          </w:tcPr>
          <w:p w:rsidR="009E64E5" w:rsidRPr="00015027" w:rsidRDefault="00C8427C" w:rsidP="002F5E1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Забезпечення взаємодії</w:t>
            </w:r>
            <w:r w:rsidR="009E64E5" w:rsidRPr="00015027">
              <w:rPr>
                <w:color w:val="000000" w:themeColor="text1"/>
                <w:shd w:val="clear" w:color="auto" w:fill="FFFFFF"/>
                <w:lang w:val="uk-UA"/>
              </w:rPr>
              <w:t xml:space="preserve"> з уповноваженими підрозділами (уповноваженими особами) інших відповідальних суб’єктів, Національним агентством, іншими спеціально уповноваженими суб’єктами у сфері протидії корупції</w:t>
            </w:r>
            <w:r w:rsidR="009E64E5"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</w:tr>
    </w:tbl>
    <w:p w:rsidR="006E5CA5" w:rsidRPr="00760104" w:rsidRDefault="006E5CA5" w:rsidP="00141CC6">
      <w:pPr>
        <w:pStyle w:val="a3"/>
        <w:rPr>
          <w:lang w:val="uk-UA"/>
        </w:rPr>
      </w:pPr>
      <w:bookmarkStart w:id="3" w:name="211"/>
      <w:bookmarkEnd w:id="3"/>
    </w:p>
    <w:sectPr w:rsidR="006E5CA5" w:rsidRPr="00760104" w:rsidSect="00707B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44B"/>
    <w:multiLevelType w:val="hybridMultilevel"/>
    <w:tmpl w:val="A272A034"/>
    <w:lvl w:ilvl="0" w:tplc="7264F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5B2C"/>
    <w:multiLevelType w:val="hybridMultilevel"/>
    <w:tmpl w:val="3E522508"/>
    <w:lvl w:ilvl="0" w:tplc="C5D8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1583"/>
    <w:multiLevelType w:val="hybridMultilevel"/>
    <w:tmpl w:val="E20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2D15"/>
    <w:multiLevelType w:val="hybridMultilevel"/>
    <w:tmpl w:val="CA141FEE"/>
    <w:lvl w:ilvl="0" w:tplc="786E7C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D5B69"/>
    <w:multiLevelType w:val="hybridMultilevel"/>
    <w:tmpl w:val="CED414DC"/>
    <w:lvl w:ilvl="0" w:tplc="D5BC31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45755"/>
    <w:multiLevelType w:val="hybridMultilevel"/>
    <w:tmpl w:val="01DCB318"/>
    <w:lvl w:ilvl="0" w:tplc="D9C4E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104"/>
    <w:rsid w:val="000029C4"/>
    <w:rsid w:val="000142BA"/>
    <w:rsid w:val="00015027"/>
    <w:rsid w:val="0003301C"/>
    <w:rsid w:val="000E5734"/>
    <w:rsid w:val="0012212B"/>
    <w:rsid w:val="00141CC6"/>
    <w:rsid w:val="0015055E"/>
    <w:rsid w:val="00176D9F"/>
    <w:rsid w:val="001C60D9"/>
    <w:rsid w:val="001E07D6"/>
    <w:rsid w:val="001E66BC"/>
    <w:rsid w:val="002053A2"/>
    <w:rsid w:val="002066A3"/>
    <w:rsid w:val="002A2C23"/>
    <w:rsid w:val="002A6FE3"/>
    <w:rsid w:val="002A7A0F"/>
    <w:rsid w:val="00305363"/>
    <w:rsid w:val="00327C49"/>
    <w:rsid w:val="00341351"/>
    <w:rsid w:val="00341A15"/>
    <w:rsid w:val="00345BBA"/>
    <w:rsid w:val="00377C1F"/>
    <w:rsid w:val="003C0F03"/>
    <w:rsid w:val="003C5488"/>
    <w:rsid w:val="003C5E5F"/>
    <w:rsid w:val="003F0BA8"/>
    <w:rsid w:val="004079C0"/>
    <w:rsid w:val="00411A5C"/>
    <w:rsid w:val="00470EAF"/>
    <w:rsid w:val="004941FD"/>
    <w:rsid w:val="004B2768"/>
    <w:rsid w:val="004C7C5D"/>
    <w:rsid w:val="004F325D"/>
    <w:rsid w:val="0050129A"/>
    <w:rsid w:val="005449FA"/>
    <w:rsid w:val="005853E4"/>
    <w:rsid w:val="005C7F68"/>
    <w:rsid w:val="005D10F4"/>
    <w:rsid w:val="005F02B5"/>
    <w:rsid w:val="005F3F54"/>
    <w:rsid w:val="005F7E49"/>
    <w:rsid w:val="006029C8"/>
    <w:rsid w:val="00604597"/>
    <w:rsid w:val="00687536"/>
    <w:rsid w:val="0069787D"/>
    <w:rsid w:val="006A4BFE"/>
    <w:rsid w:val="006B43BA"/>
    <w:rsid w:val="006D34F0"/>
    <w:rsid w:val="006E5CA5"/>
    <w:rsid w:val="00707BA5"/>
    <w:rsid w:val="00741751"/>
    <w:rsid w:val="007432D0"/>
    <w:rsid w:val="007572C2"/>
    <w:rsid w:val="00760104"/>
    <w:rsid w:val="00794F77"/>
    <w:rsid w:val="007A2784"/>
    <w:rsid w:val="00847F4F"/>
    <w:rsid w:val="00867325"/>
    <w:rsid w:val="008731E1"/>
    <w:rsid w:val="00887E7D"/>
    <w:rsid w:val="008913EF"/>
    <w:rsid w:val="00893725"/>
    <w:rsid w:val="008C5E25"/>
    <w:rsid w:val="008C675A"/>
    <w:rsid w:val="00911E1C"/>
    <w:rsid w:val="0092123F"/>
    <w:rsid w:val="00933C88"/>
    <w:rsid w:val="009D5298"/>
    <w:rsid w:val="009E038B"/>
    <w:rsid w:val="009E30A3"/>
    <w:rsid w:val="009E64E5"/>
    <w:rsid w:val="00A2634D"/>
    <w:rsid w:val="00AC58F4"/>
    <w:rsid w:val="00AF4805"/>
    <w:rsid w:val="00B00117"/>
    <w:rsid w:val="00B71283"/>
    <w:rsid w:val="00B8066F"/>
    <w:rsid w:val="00B96EF0"/>
    <w:rsid w:val="00BA4D72"/>
    <w:rsid w:val="00BA7463"/>
    <w:rsid w:val="00BD19A0"/>
    <w:rsid w:val="00BD5512"/>
    <w:rsid w:val="00C3302B"/>
    <w:rsid w:val="00C662F5"/>
    <w:rsid w:val="00C81C23"/>
    <w:rsid w:val="00C8427C"/>
    <w:rsid w:val="00CB22A6"/>
    <w:rsid w:val="00CF7C6C"/>
    <w:rsid w:val="00D14919"/>
    <w:rsid w:val="00D32D5F"/>
    <w:rsid w:val="00D53FA9"/>
    <w:rsid w:val="00DA3661"/>
    <w:rsid w:val="00DB1540"/>
    <w:rsid w:val="00DC3FB5"/>
    <w:rsid w:val="00DD67BB"/>
    <w:rsid w:val="00DF6143"/>
    <w:rsid w:val="00E03A53"/>
    <w:rsid w:val="00E30DC7"/>
    <w:rsid w:val="00E7490B"/>
    <w:rsid w:val="00E93F2B"/>
    <w:rsid w:val="00E95009"/>
    <w:rsid w:val="00EB05D4"/>
    <w:rsid w:val="00EF3F2E"/>
    <w:rsid w:val="00F1406F"/>
    <w:rsid w:val="00F2072C"/>
    <w:rsid w:val="00F7123D"/>
    <w:rsid w:val="00F80ADC"/>
    <w:rsid w:val="00FA59CC"/>
    <w:rsid w:val="00FA7B64"/>
    <w:rsid w:val="00FC0C68"/>
    <w:rsid w:val="00FD021D"/>
    <w:rsid w:val="00FF03F6"/>
    <w:rsid w:val="00FF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60104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0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60104"/>
  </w:style>
  <w:style w:type="paragraph" w:styleId="a4">
    <w:name w:val="No Spacing"/>
    <w:qFormat/>
    <w:rsid w:val="0076010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uiPriority w:val="99"/>
    <w:rsid w:val="00887E7D"/>
    <w:rPr>
      <w:color w:val="0000FF"/>
      <w:u w:val="single"/>
    </w:rPr>
  </w:style>
  <w:style w:type="paragraph" w:customStyle="1" w:styleId="a6">
    <w:name w:val="Нормальний текст"/>
    <w:basedOn w:val="a"/>
    <w:rsid w:val="00887E7D"/>
    <w:pPr>
      <w:spacing w:before="120" w:beforeAutospacing="0" w:after="0" w:afterAutospacing="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3C5488"/>
  </w:style>
  <w:style w:type="paragraph" w:styleId="a7">
    <w:name w:val="Balloon Text"/>
    <w:basedOn w:val="a"/>
    <w:link w:val="a8"/>
    <w:uiPriority w:val="99"/>
    <w:semiHidden/>
    <w:unhideWhenUsed/>
    <w:rsid w:val="00DC3F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E286-DF9B-4E92-A462-0A603D60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96</cp:revision>
  <cp:lastPrinted>2021-02-08T09:49:00Z</cp:lastPrinted>
  <dcterms:created xsi:type="dcterms:W3CDTF">2019-10-29T13:16:00Z</dcterms:created>
  <dcterms:modified xsi:type="dcterms:W3CDTF">2021-02-11T09:44:00Z</dcterms:modified>
</cp:coreProperties>
</file>